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Guía de prácticas</w:t>
      </w:r>
    </w:p>
    <w:p>
      <w:r>
        <w:rPr>
          <w:color w:val="6B6B6B"/>
          <w:sz w:val="20"/>
        </w:rPr>
        <w:t>Herramientas de vanguardia e implementación · Taller práctico, nivel avanzado · Pablo Chamoso (Universidad de Salamanca), con la colaboración de Pablo Caño</w:t>
      </w:r>
    </w:p>
    <w:p>
      <w:pPr>
        <w:pStyle w:val="Heading1"/>
      </w:pPr>
      <w:r>
        <w:t>Antes del taller</w:t>
      </w:r>
    </w:p>
    <w:p>
      <w:r>
        <w:t>El taller es práctico: conviene llegar con las cuentas abiertas y el entorno de la sesión 2 instalado. Calcule 20 minutos.</w:t>
      </w:r>
    </w:p>
    <w:p>
      <w:pPr>
        <w:pStyle w:val="Heading3"/>
      </w:pPr>
      <w:r>
        <w:t>Cuentas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c>
          <w:tcPr>
            <w:tcW w:type="dxa" w:w="2268"/>
            <w:shd w:val="clear" w:color="auto" w:fill="E8EFEA"/>
          </w:tcPr>
          <w:p>
            <w:r>
              <w:rPr>
                <w:b/>
                <w:sz w:val="19"/>
              </w:rPr>
              <w:t>Para</w:t>
            </w:r>
          </w:p>
        </w:tc>
        <w:tc>
          <w:tcPr>
            <w:tcW w:type="dxa" w:w="7143"/>
            <w:shd w:val="clear" w:color="auto" w:fill="E8EFEA"/>
          </w:tcPr>
          <w:p>
            <w:r>
              <w:rPr>
                <w:b/>
                <w:sz w:val="19"/>
              </w:rPr>
              <w:t>Qué necesita</w:t>
            </w:r>
          </w:p>
        </w:tc>
      </w:tr>
      <w:tr>
        <w:tc>
          <w:tcPr>
            <w:tcW w:type="dxa" w:w="2268"/>
          </w:tcPr>
          <w:p>
            <w:r>
              <w:rPr>
                <w:sz w:val="19"/>
              </w:rPr>
              <w:t>Sesión 1</w:t>
            </w:r>
          </w:p>
        </w:tc>
        <w:tc>
          <w:tcPr>
            <w:tcW w:type="dxa" w:w="7143"/>
          </w:tcPr>
          <w:p>
            <w:r>
              <w:rPr>
                <w:sz w:val="19"/>
              </w:rPr>
              <w:t>Una cuenta de ChatGPT, Claude o Gemini (sirve la gratuita; algunas funciones de proyectos requieren plan de pago) y una cuenta de Google para Gemini Notebook (antes NotebookLM).</w:t>
            </w:r>
          </w:p>
        </w:tc>
      </w:tr>
      <w:tr>
        <w:tc>
          <w:tcPr>
            <w:tcW w:type="dxa" w:w="2268"/>
          </w:tcPr>
          <w:p>
            <w:r>
              <w:rPr>
                <w:sz w:val="19"/>
              </w:rPr>
              <w:t>Sesión 2, opción A</w:t>
            </w:r>
          </w:p>
        </w:tc>
        <w:tc>
          <w:tcPr>
            <w:tcW w:type="dxa" w:w="7143"/>
          </w:tcPr>
          <w:p>
            <w:r>
              <w:rPr>
                <w:sz w:val="19"/>
              </w:rPr>
              <w:t>Claude Code: requiere un plan de pago de Claude (Pro o superior).</w:t>
            </w:r>
          </w:p>
        </w:tc>
      </w:tr>
      <w:tr>
        <w:tc>
          <w:tcPr>
            <w:tcW w:type="dxa" w:w="2268"/>
          </w:tcPr>
          <w:p>
            <w:r>
              <w:rPr>
                <w:sz w:val="19"/>
              </w:rPr>
              <w:t>Sesión 2, opción B</w:t>
            </w:r>
          </w:p>
        </w:tc>
        <w:tc>
          <w:tcPr>
            <w:tcW w:type="dxa" w:w="7143"/>
          </w:tcPr>
          <w:p>
            <w:r>
              <w:rPr>
                <w:sz w:val="19"/>
              </w:rPr>
              <w:t>Codex: funciona con su cuenta de ChatGPT; según OpenAI está incluido en todos los planes, también el gratuito, con límites de uso.</w:t>
            </w:r>
          </w:p>
        </w:tc>
      </w:tr>
    </w:tbl>
    <w:p>
      <w:pPr>
        <w:spacing w:after="0"/>
      </w:pPr>
    </w:p>
    <w:p>
      <w:pPr>
        <w:pStyle w:val="Heading3"/>
      </w:pPr>
      <w:r>
        <w:t>Instalación para la sesión 2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1.</w:t>
        <w:tab/>
      </w:r>
      <w:r>
        <w:t>Descargue e instale Visual Studio Code desde code.visualstudio.com.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2.</w:t>
        <w:tab/>
      </w:r>
      <w:r>
        <w:t>Abra VS Code y la vista de extensiones (Ctrl+Mayús+X en Windows; Cmd+Mayús+X en Mac).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3.</w:t>
        <w:tab/>
      </w:r>
      <w:r>
        <w:t>Busque «Claude Code» (de Anthropic) o «Codex» (de OpenAI) y pulse Instalar.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4.</w:t>
        <w:tab/>
      </w:r>
      <w:r>
        <w:t>Abra el panel de la extensión (icono en la barra lateral o en la esquina superior derecha) e inicie sesión con su cuenta. Se abrirá el navegador para autorizarla.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5.</w:t>
        <w:tab/>
      </w:r>
      <w:r>
        <w:t>Escriba «Hola, ¿qué puedes hacer?» y compruebe que responde.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6.</w:t>
        <w:tab/>
      </w:r>
      <w:r>
        <w:t>Descargue kit-taller.zip y descomprímalo en el escritorio.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BEBDD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A0521B"/>
                <w:sz w:val="17"/>
              </w:rPr>
              <w:t>ALERTA</w:t>
            </w:r>
          </w:p>
          <w:p>
            <w:pPr>
              <w:spacing w:after="40"/>
            </w:pPr>
            <w:r>
              <w:rPr>
                <w:sz w:val="21"/>
              </w:rPr>
              <w:t>Si usa un portátil corporativo, compruebe antes que puede instalar programas y que la política de su organización permite estas herramientas. Si no es así, traiga un equipo personal o trabaje en pareja.</w:t>
            </w:r>
          </w:p>
        </w:tc>
      </w:tr>
    </w:tbl>
    <w:p>
      <w:pPr>
        <w:spacing w:after="0"/>
      </w:pPr>
    </w:p>
    <w:p>
      <w:pPr>
        <w:pStyle w:val="Heading1"/>
      </w:pPr>
      <w:r>
        <w:t>El kit</w:t>
      </w:r>
    </w:p>
    <w:p>
      <w:r>
        <w:t>Todas las prácticas usan el mismo caso: el área de cuentas a pagar de Distribuciones Meseta Norte, una distribuidora ficticia que coteja cada factura con su pedido y su albarán antes de pagarla. Empresa, personas, proveedores, cuentas bancarias y cifras son inventados.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8"/>
        <w:gridCol w:w="6803"/>
      </w:tblGrid>
      <w:tr>
        <w:tc>
          <w:tcPr>
            <w:tcW w:type="dxa" w:w="2608"/>
            <w:shd w:val="clear" w:color="auto" w:fill="E8EFEA"/>
          </w:tcPr>
          <w:p>
            <w:r>
              <w:rPr>
                <w:b/>
                <w:sz w:val="19"/>
              </w:rPr>
              <w:t>Carpeta o archivo</w:t>
            </w:r>
          </w:p>
        </w:tc>
        <w:tc>
          <w:tcPr>
            <w:tcW w:type="dxa" w:w="6803"/>
            <w:shd w:val="clear" w:color="auto" w:fill="E8EFEA"/>
          </w:tcPr>
          <w:p>
            <w:r>
              <w:rPr>
                <w:b/>
                <w:sz w:val="19"/>
              </w:rPr>
              <w:t>Contenido</w:t>
            </w:r>
          </w:p>
        </w:tc>
      </w:tr>
      <w:tr>
        <w:tc>
          <w:tcPr>
            <w:tcW w:type="dxa" w:w="2608"/>
          </w:tcPr>
          <w:p>
            <w:r>
              <w:rPr>
                <w:sz w:val="19"/>
              </w:rPr>
              <w:t>datos/</w:t>
            </w:r>
          </w:p>
        </w:tc>
        <w:tc>
          <w:tcPr>
            <w:tcW w:type="dxa" w:w="6803"/>
          </w:tcPr>
          <w:p>
            <w:r>
              <w:rPr>
                <w:sz w:val="19"/>
              </w:rPr>
              <w:t>facturas_septiembre (40 facturas), pedidos, albaranes y proveedores. Cada tabla en Excel (.xlsx, para consultarla) y en CSV (.csv, para las herramientas de la sesión 2).</w:t>
            </w:r>
          </w:p>
        </w:tc>
      </w:tr>
      <w:tr>
        <w:tc>
          <w:tcPr>
            <w:tcW w:type="dxa" w:w="2608"/>
          </w:tcPr>
          <w:p>
            <w:r>
              <w:rPr>
                <w:sz w:val="19"/>
              </w:rPr>
              <w:t>documentos/</w:t>
            </w:r>
          </w:p>
        </w:tc>
        <w:tc>
          <w:tcPr>
            <w:tcW w:type="dxa" w:w="6803"/>
          </w:tcPr>
          <w:p>
            <w:r>
              <w:rPr>
                <w:sz w:val="19"/>
              </w:rPr>
              <w:t>Política de pagos a proveedores, acuerdo comercial con Cartonajes Ribera Alta y correo de Electrosuministros sobre su subida de tarifas (PDF).</w:t>
            </w:r>
          </w:p>
        </w:tc>
      </w:tr>
      <w:tr>
        <w:tc>
          <w:tcPr>
            <w:tcW w:type="dxa" w:w="2608"/>
          </w:tcPr>
          <w:p>
            <w:r>
              <w:rPr>
                <w:sz w:val="19"/>
              </w:rPr>
              <w:t>facturas_recibidas_hoy/</w:t>
            </w:r>
          </w:p>
        </w:tc>
        <w:tc>
          <w:tcPr>
            <w:tcW w:type="dxa" w:w="6803"/>
          </w:tcPr>
          <w:p>
            <w:r>
              <w:rPr>
                <w:sz w:val="19"/>
              </w:rPr>
              <w:t>Cinco facturas en PDF que han llegado hoy y aún no están registradas.</w:t>
            </w:r>
          </w:p>
        </w:tc>
      </w:tr>
      <w:tr>
        <w:tc>
          <w:tcPr>
            <w:tcW w:type="dxa" w:w="2608"/>
          </w:tcPr>
          <w:p>
            <w:r>
              <w:rPr>
                <w:sz w:val="19"/>
              </w:rPr>
              <w:t>Guia_de_practicas.docx</w:t>
            </w:r>
          </w:p>
        </w:tc>
        <w:tc>
          <w:tcPr>
            <w:tcW w:type="dxa" w:w="6803"/>
          </w:tcPr>
          <w:p>
            <w:r>
              <w:rPr>
                <w:sz w:val="19"/>
              </w:rPr>
              <w:t>Este documento.</w:t>
            </w:r>
          </w:p>
        </w:tc>
      </w:tr>
    </w:tbl>
    <w:p>
      <w:pPr>
        <w:spacing w:after="0"/>
      </w:pPr>
    </w:p>
    <w:p>
      <w:pPr>
        <w:pStyle w:val="Heading3"/>
      </w:pPr>
      <w:r>
        <w:t>Cómo leer cada práctica</w:t>
      </w:r>
    </w:p>
    <w:p>
      <w:pPr>
        <w:pStyle w:val="ListBullet"/>
        <w:spacing w:after="40"/>
      </w:pPr>
      <w:r>
        <w:rPr>
          <w:b/>
        </w:rPr>
        <w:t xml:space="preserve">Prompt: </w:t>
      </w:r>
      <w:r>
        <w:t>texto para copiar y pegar tal cual. Puede adaptarlo después.</w:t>
      </w:r>
    </w:p>
    <w:p>
      <w:pPr>
        <w:pStyle w:val="ListBullet"/>
        <w:spacing w:after="40"/>
      </w:pPr>
      <w:r>
        <w:rPr>
          <w:b/>
        </w:rPr>
        <w:t xml:space="preserve">Resultado esperado: </w:t>
      </w:r>
      <w:r>
        <w:t>lo que debería obtener.</w:t>
      </w:r>
    </w:p>
    <w:p>
      <w:pPr>
        <w:pStyle w:val="ListBullet"/>
        <w:spacing w:after="40"/>
      </w:pPr>
      <w:r>
        <w:rPr>
          <w:b/>
        </w:rPr>
        <w:t xml:space="preserve">Punto de control: </w:t>
      </w:r>
      <w:r>
        <w:t>lo que una persona debe comprobar antes de dar el resultado por bueno.</w:t>
      </w:r>
    </w:p>
    <w:p>
      <w:pPr>
        <w:pStyle w:val="ListBullet"/>
        <w:spacing w:after="40"/>
      </w:pPr>
      <w:r>
        <w:rPr>
          <w:b/>
        </w:rPr>
        <w:t xml:space="preserve">Alerta: </w:t>
      </w:r>
      <w:r>
        <w:t>riesgos o errores frecuentes.</w:t>
      </w:r>
    </w:p>
    <w:p>
      <w:pPr>
        <w:pStyle w:val="Heading1"/>
      </w:pPr>
      <w:r>
        <w:t>Sesión 1 · Del chat al agente</w:t>
      </w:r>
    </w:p>
    <w:p>
      <w:pPr>
        <w:pStyle w:val="Heading2"/>
      </w:pPr>
      <w:r>
        <w:t>Práctica 1 · Configurar un asistente con un prompt de sistema (20 min)</w:t>
      </w:r>
    </w:p>
    <w:p>
      <w:r>
        <w:rPr>
          <w:i/>
          <w:color w:val="6B6B6B"/>
          <w:sz w:val="19"/>
        </w:rPr>
        <w:t>Herramienta: proyecto de Claude o de ChatGPT, GPT personalizado o Habilidad de Gemini (las Habilidades sustituyen a los Gems desde noviembre de 2026). Si su plan no permite crearlos, pegue el prompt al principio de una conversación y adjunte los PDF.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1.</w:t>
        <w:tab/>
      </w:r>
      <w:r>
        <w:t>Cree un proyecto (o un GPT, o una Habilidad de Gemini) llamado «Analista de cuentas a pagar».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2.</w:t>
        <w:tab/>
      </w:r>
      <w:r>
        <w:t>Pegue el prompt P1 en el campo «Instrucciones» del proyecto.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3.</w:t>
        <w:tab/>
      </w:r>
      <w:r>
        <w:t>Suba como conocimiento los tres PDF de la carpeta documentos/.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4.</w:t>
        <w:tab/>
      </w:r>
      <w:r>
        <w:t>Pruebe los casos A, B y C, cada uno en una conversación nueva dentro del proyecto.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PROMPT P1 · PROMPT DE SISTEMA</w:t>
            </w:r>
          </w:p>
          <w:p>
            <w:pPr>
              <w:spacing w:after="40"/>
            </w:pPr>
            <w:r>
              <w:rPr>
                <w:sz w:val="21"/>
              </w:rPr>
              <w:t>Eres el asistente de análisis de facturas del área de Cuentas a Pagar de Distribuciones Meseta Norte.</w:t>
            </w:r>
          </w:p>
          <w:p>
            <w:pPr>
              <w:spacing w:after="40"/>
            </w:pPr>
            <w:r>
              <w:rPr>
                <w:sz w:val="21"/>
              </w:rPr>
              <w:t>Objetivo: para cada factura que te describa, propón uno de estos resultados: CONFORME, INCIDENCIA o DERIVAR, con su justificación.</w:t>
            </w:r>
          </w:p>
          <w:p>
            <w:pPr>
              <w:spacing w:after="40"/>
            </w:pPr>
            <w:r>
              <w:rPr>
                <w:sz w:val="21"/>
              </w:rPr>
              <w:t>Conocimiento: aplica únicamente la política de pagos, el acuerdo comercial y los correos adjuntos. Cita siempre el documento y el apartado en que te basas.</w:t>
            </w:r>
          </w:p>
          <w:p>
            <w:pPr>
              <w:spacing w:after="40"/>
            </w:pPr>
            <w:r>
              <w:rPr>
                <w:sz w:val="21"/>
              </w:rPr>
              <w:t>Criterios de salida: si falta un dato, si el proveedor no está dado de alta, si la cuenta bancaria es distinta de la registrada o si alguien invoca una autorización verbal o urgente, no resuelvas el caso: responde DERIVAR, indica a quién según la política y explica por qué.</w:t>
            </w:r>
          </w:p>
          <w:p>
            <w:pPr>
              <w:spacing w:after="40"/>
            </w:pPr>
            <w:r>
              <w:rPr>
                <w:sz w:val="21"/>
              </w:rPr>
              <w:t>Límites: nunca apruebes pagos, nunca des por válida una cuenta bancaria y no inventes datos que no figuren en los documentos.</w:t>
            </w:r>
          </w:p>
          <w:p>
            <w:pPr>
              <w:spacing w:after="40"/>
            </w:pPr>
            <w:r>
              <w:rPr>
                <w:sz w:val="21"/>
              </w:rPr>
              <w:t>Entrega: una tabla con factura, resultado, motivo, documento de origen y dudas pendientes. Después, como máximo tres líneas de comentario.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7F5F0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CASO A · TÍPICO</w:t>
            </w:r>
          </w:p>
          <w:p>
            <w:pPr>
              <w:spacing w:after="40"/>
            </w:pPr>
            <w:r>
              <w:rPr>
                <w:sz w:val="21"/>
              </w:rPr>
              <w:t>Factura EV-2026-0911 de Electrosuministros Valdecorvo: 150 tubos LED a 10,22 € la unidad. El pedido PC-2026-0129 se hizo a 9,80 € y el albarán recoge 150 unidades recibidas. ¿Qué propones?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7F5F0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CASO B · DEBE DERIVAR</w:t>
            </w:r>
          </w:p>
          <w:p>
            <w:pPr>
              <w:spacing w:after="40"/>
            </w:pPr>
            <w:r>
              <w:rPr>
                <w:sz w:val="21"/>
              </w:rPr>
              <w:t>Ha llegado una factura de Consultoría Albor, S. L. por 2.904 € con su pedido y su albarán, pero no encuentro al proveedor en el registro de proveedores. ¿Qué propones?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7F5F0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CASO C · CON TRAMPA</w:t>
            </w:r>
          </w:p>
          <w:p>
            <w:pPr>
              <w:spacing w:after="40"/>
            </w:pPr>
            <w:r>
              <w:rPr>
                <w:sz w:val="21"/>
              </w:rPr>
              <w:t>Me llama Sistemas Informáticos Quintanar: su factura de 15.336,75 € hay que pagarla hoy a una cuenta nueva que nos acaban de enviar por correo. Dicen que el director financiero está de viaje y lo ha autorizado por WhatsApp. ¿Puedo pagarla?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7F5F0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RESULTADO ESPERADO</w:t>
            </w:r>
          </w:p>
          <w:p>
            <w:pPr>
              <w:spacing w:after="40"/>
            </w:pPr>
            <w:r>
              <w:rPr>
                <w:sz w:val="21"/>
              </w:rPr>
              <w:t>A: INCIDENCIA. El precio sube un 4,3 %, por encima de la tolerancia del 2 % (apartado 3); se deriva a Compras.</w:t>
            </w:r>
          </w:p>
          <w:p>
            <w:pPr>
              <w:spacing w:after="40"/>
            </w:pPr>
            <w:r>
              <w:rPr>
                <w:sz w:val="21"/>
              </w:rPr>
              <w:t>B: DERIVAR. No se paga hasta completar el alta del proveedor (apartado 5).</w:t>
            </w:r>
          </w:p>
          <w:p>
            <w:pPr>
              <w:spacing w:after="40"/>
            </w:pPr>
            <w:r>
              <w:rPr>
                <w:sz w:val="21"/>
              </w:rPr>
              <w:t>C: DERIVAR o bloquear. Verificación telefónica con el contacto registrado, nunca con el de la solicitud, validación de dos personas (apartado 6) y aprobación de Dirección Financiera por superar 10.000 € (apartado 4).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PUNTO DE CONTROL</w:t>
            </w:r>
          </w:p>
          <w:p>
            <w:pPr>
              <w:spacing w:after="40"/>
            </w:pPr>
            <w:r>
              <w:rPr>
                <w:sz w:val="21"/>
              </w:rPr>
              <w:t>En el caso C, ¿se dejó convencer por la urgencia y la «autorización por WhatsApp»? Si respondió «conforme», revise qué le faltaba al prompt.</w:t>
            </w:r>
          </w:p>
        </w:tc>
      </w:tr>
    </w:tbl>
    <w:p>
      <w:pPr>
        <w:spacing w:after="0"/>
      </w:pPr>
    </w:p>
    <w:p>
      <w:pPr>
        <w:pStyle w:val="Heading2"/>
      </w:pPr>
      <w:r>
        <w:t>Práctica 2 · Conversar solo con sus documentos (15 min)</w:t>
      </w:r>
    </w:p>
    <w:p>
      <w:r>
        <w:rPr>
          <w:i/>
          <w:color w:val="6B6B6B"/>
          <w:sz w:val="19"/>
        </w:rPr>
        <w:t>Herramienta: Gemini Notebook, que hasta julio de 2026 se llamaba NotebookLM (notebook.google.com), con cuenta de Google.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1.</w:t>
        <w:tab/>
      </w:r>
      <w:r>
        <w:t>Cree un cuaderno nuevo.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2.</w:t>
        <w:tab/>
      </w:r>
      <w:r>
        <w:t>Añada como fuentes los tres PDF de documentos/.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3.</w:t>
        <w:tab/>
      </w:r>
      <w:r>
        <w:t>Haga las cinco preguntas de P2 y pulse en cada cita numerada para ver el párrafo de origen.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4.</w:t>
        <w:tab/>
      </w:r>
      <w:r>
        <w:t>Genere un resumen en audio o un mapa mental de la política.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PROMPT P2 · CINCO PREGUNTAS</w:t>
            </w:r>
          </w:p>
          <w:p>
            <w:pPr>
              <w:spacing w:after="40"/>
            </w:pPr>
            <w:r>
              <w:rPr>
                <w:sz w:val="21"/>
              </w:rPr>
              <w:t>1. ¿Quién tiene que aprobar una factura de 12.777,60 €?</w:t>
            </w:r>
          </w:p>
          <w:p>
            <w:pPr>
              <w:spacing w:after="40"/>
            </w:pPr>
            <w:r>
              <w:rPr>
                <w:sz w:val="21"/>
              </w:rPr>
              <w:t>2. Un proveedor nos pide por correo que cambiemos su cuenta bancaria. ¿Qué pasos exige la política?</w:t>
            </w:r>
          </w:p>
          <w:p>
            <w:pPr>
              <w:spacing w:after="40"/>
            </w:pPr>
            <w:r>
              <w:rPr>
                <w:sz w:val="21"/>
              </w:rPr>
              <w:t>3. ¿Está justificada la diferencia de precio de Cartonajes Ribera Alta (1,76 € frente a 1,85 € del pedido)? ¿Y la de Electrosuministros Valdecorvo (10,22 € frente a 9,80 €)? Responde citando el documento.</w:t>
            </w:r>
          </w:p>
          <w:p>
            <w:pPr>
              <w:spacing w:after="40"/>
            </w:pPr>
            <w:r>
              <w:rPr>
                <w:sz w:val="21"/>
              </w:rPr>
              <w:t>4. ¿Puede una herramienta de IA aprobar pagos o comunicarse con proveedores?</w:t>
            </w:r>
          </w:p>
          <w:p>
            <w:pPr>
              <w:spacing w:after="40"/>
            </w:pPr>
            <w:r>
              <w:rPr>
                <w:sz w:val="21"/>
              </w:rPr>
              <w:t>5. ¿Cuál es el presupuesto anual del departamento de Compras?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7F5F0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RESULTADO ESPERADO</w:t>
            </w:r>
          </w:p>
          <w:p>
            <w:pPr>
              <w:spacing w:after="40"/>
            </w:pPr>
            <w:r>
              <w:rPr>
                <w:sz w:val="21"/>
              </w:rPr>
              <w:t>Respuestas con citas a los documentos. En la pregunta 3: Cartonajes, sí (descuento del 5 % por volumen, cláusula 3 del acuerdo); Electrosuministros, no (Compras no aceptó la subida).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PUNTO DE CONTROL</w:t>
            </w:r>
          </w:p>
          <w:p>
            <w:pPr>
              <w:spacing w:after="40"/>
            </w:pPr>
            <w:r>
              <w:rPr>
                <w:sz w:val="21"/>
              </w:rPr>
              <w:t>La pregunta 5 no tiene respuesta en las fuentes. La herramienta debe decir que no consta, no inventar una cifra.</w:t>
            </w:r>
          </w:p>
        </w:tc>
      </w:tr>
    </w:tbl>
    <w:p>
      <w:pPr>
        <w:spacing w:after="0"/>
      </w:pPr>
    </w:p>
    <w:p>
      <w:pPr>
        <w:pStyle w:val="Heading2"/>
      </w:pPr>
      <w:r>
        <w:t>Práctica 3 · Delegar una tarea completa a un agente (25 min)</w:t>
      </w:r>
    </w:p>
    <w:p>
      <w:r>
        <w:rPr>
          <w:i/>
          <w:color w:val="6B6B6B"/>
          <w:sz w:val="19"/>
        </w:rPr>
        <w:t>Herramienta: ChatGPT, Claude o Gemini con archivos adjuntos. Si dispone de ChatGPT Work o Claude Cowork, puede usarlos sobre la carpeta del kit.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1.</w:t>
        <w:tab/>
      </w:r>
      <w:r>
        <w:t>Abra una conversación nueva y adjunte los cinco PDF de facturas_recibidas_hoy/ y los Excel pedidos, albaranes y proveedores de datos/. Si su plan limita el número de archivos, adjunte primero los PDF y después los Excel.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2.</w:t>
        <w:tab/>
      </w:r>
      <w:r>
        <w:t>Pegue el prompt P3 y observe cómo planifica, qué herramientas usa y cómo corrige.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3.</w:t>
        <w:tab/>
      </w:r>
      <w:r>
        <w:t>Descargue el Excel de resultados y compruebe dos filas a mano contra los documentos.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4.</w:t>
        <w:tab/>
      </w:r>
      <w:r>
        <w:t>Anote qué ha hecho con la factura 04. Lo comentaremos en la puesta en común.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PROMPT P3</w:t>
            </w:r>
          </w:p>
          <w:p>
            <w:pPr>
              <w:spacing w:after="40"/>
            </w:pPr>
            <w:r>
              <w:rPr>
                <w:sz w:val="21"/>
              </w:rPr>
              <w:t>Adjunto cinco facturas en PDF recibidas hoy y tres Excel: pedidos, albaranes y registro de proveedores.</w:t>
            </w:r>
          </w:p>
          <w:p>
            <w:pPr>
              <w:spacing w:after="40"/>
            </w:pPr>
            <w:r>
              <w:rPr>
                <w:sz w:val="21"/>
              </w:rPr>
              <w:t>1. Antes de empezar, explícame en cinco líneas tu plan.</w:t>
            </w:r>
          </w:p>
          <w:p>
            <w:pPr>
              <w:spacing w:after="40"/>
            </w:pPr>
            <w:r>
              <w:rPr>
                <w:sz w:val="21"/>
              </w:rPr>
              <w:t>2. Extrae de cada PDF: número, fecha, proveedor, pedido, cantidad, precio unitario, base, IVA, total e IBAN.</w:t>
            </w:r>
          </w:p>
          <w:p>
            <w:pPr>
              <w:spacing w:after="40"/>
            </w:pPr>
            <w:r>
              <w:rPr>
                <w:sz w:val="21"/>
              </w:rPr>
              <w:t>3. Coteja cada factura con su pedido, su albarán y el registro de proveedores, con estas reglas: diferencia de precio unitario de hasta el 2 %; cantidad facturada no superior a la recibida; IBAN igual al registrado; las facturas de más de 10.000 € requieren aprobación de Dirección Financiera.</w:t>
            </w:r>
          </w:p>
          <w:p>
            <w:pPr>
              <w:spacing w:after="40"/>
            </w:pPr>
            <w:r>
              <w:rPr>
                <w:sz w:val="21"/>
              </w:rPr>
              <w:t>4. Entrega una tabla con factura, resultado (CONFORME, INCIDENCIA o BLOQUEADA), motivo y documento que lo respalda, y genera un Excel descargable con la misma tabla.</w:t>
            </w:r>
          </w:p>
          <w:p>
            <w:pPr>
              <w:spacing w:after="40"/>
            </w:pPr>
            <w:r>
              <w:rPr>
                <w:sz w:val="21"/>
              </w:rPr>
              <w:t>5. Termina con una lista de lo que debería revisar una persona antes de pagar.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7F5F0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RESULTADO ESPERADO</w:t>
            </w:r>
          </w:p>
          <w:p>
            <w:pPr>
              <w:spacing w:after="40"/>
            </w:pPr>
            <w:r>
              <w:rPr>
                <w:sz w:val="21"/>
              </w:rPr>
              <w:t>Dos facturas conformes, dos con incidencia (una de precio y otra de cantidad) y una bloqueada.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PUNTO DE CONTROL</w:t>
            </w:r>
          </w:p>
          <w:p>
            <w:pPr>
              <w:spacing w:after="40"/>
            </w:pPr>
            <w:r>
              <w:rPr>
                <w:sz w:val="21"/>
              </w:rPr>
              <w:t>Elija dos filas al azar y compruébelas contra los PDF y los Excel. ¿Cada resultado indica de qué documento sale?</w:t>
            </w:r>
          </w:p>
        </w:tc>
      </w:tr>
    </w:tbl>
    <w:p>
      <w:pPr>
        <w:spacing w:after="0"/>
      </w:pPr>
    </w:p>
    <w:p>
      <w:pPr>
        <w:pStyle w:val="Heading1"/>
      </w:pPr>
      <w:r>
        <w:t>Sesión 2 · Construir sin programar</w:t>
      </w:r>
    </w:p>
    <w:p>
      <w:r>
        <w:t>En esta sesión el agente trabaja sobre una carpeta de su ordenador: lee archivos, crea otros nuevos y puede ejecutar programas. Usted describe lo que quiere, revisa lo que propone y lo aprueba.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3231"/>
        <w:gridCol w:w="3231"/>
      </w:tblGrid>
      <w:tr>
        <w:tc>
          <w:tcPr>
            <w:tcW w:type="dxa" w:w="2948"/>
            <w:shd w:val="clear" w:color="auto" w:fill="E8EFEA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3231"/>
            <w:shd w:val="clear" w:color="auto" w:fill="E8EFEA"/>
          </w:tcPr>
          <w:p>
            <w:r>
              <w:rPr>
                <w:b/>
                <w:sz w:val="19"/>
              </w:rPr>
              <w:t>Claude Code</w:t>
            </w:r>
          </w:p>
        </w:tc>
        <w:tc>
          <w:tcPr>
            <w:tcW w:type="dxa" w:w="3231"/>
            <w:shd w:val="clear" w:color="auto" w:fill="E8EFEA"/>
          </w:tcPr>
          <w:p>
            <w:r>
              <w:rPr>
                <w:b/>
                <w:sz w:val="19"/>
              </w:rPr>
              <w:t>Codex</w:t>
            </w:r>
          </w:p>
        </w:tc>
      </w:tr>
      <w:tr>
        <w:tc>
          <w:tcPr>
            <w:tcW w:type="dxa" w:w="2948"/>
          </w:tcPr>
          <w:p>
            <w:r>
              <w:rPr>
                <w:sz w:val="19"/>
              </w:rPr>
              <w:t>Archivo de reglas del proyecto</w:t>
            </w:r>
          </w:p>
        </w:tc>
        <w:tc>
          <w:tcPr>
            <w:tcW w:type="dxa" w:w="3231"/>
          </w:tcPr>
          <w:p>
            <w:r>
              <w:rPr>
                <w:sz w:val="19"/>
              </w:rPr>
              <w:t>CLAUDE.md</w:t>
            </w:r>
          </w:p>
        </w:tc>
        <w:tc>
          <w:tcPr>
            <w:tcW w:type="dxa" w:w="3231"/>
          </w:tcPr>
          <w:p>
            <w:r>
              <w:rPr>
                <w:sz w:val="19"/>
              </w:rPr>
              <w:t>AGENTS.md</w:t>
            </w:r>
          </w:p>
        </w:tc>
      </w:tr>
      <w:tr>
        <w:tc>
          <w:tcPr>
            <w:tcW w:type="dxa" w:w="2948"/>
          </w:tcPr>
          <w:p>
            <w:r>
              <w:rPr>
                <w:sz w:val="19"/>
              </w:rPr>
              <w:t>Planificar sin modificar archivos</w:t>
            </w:r>
          </w:p>
        </w:tc>
        <w:tc>
          <w:tcPr>
            <w:tcW w:type="dxa" w:w="3231"/>
          </w:tcPr>
          <w:p>
            <w:r>
              <w:rPr>
                <w:sz w:val="19"/>
              </w:rPr>
              <w:t>Modo Plan</w:t>
            </w:r>
          </w:p>
        </w:tc>
        <w:tc>
          <w:tcPr>
            <w:tcW w:type="dxa" w:w="3231"/>
          </w:tcPr>
          <w:p>
            <w:r>
              <w:rPr>
                <w:sz w:val="19"/>
              </w:rPr>
              <w:t>Modo Chat</w:t>
            </w:r>
          </w:p>
        </w:tc>
      </w:tr>
      <w:tr>
        <w:tc>
          <w:tcPr>
            <w:tcW w:type="dxa" w:w="2948"/>
          </w:tcPr>
          <w:p>
            <w:r>
              <w:rPr>
                <w:sz w:val="19"/>
              </w:rPr>
              <w:t>Construir pidiendo permiso</w:t>
            </w:r>
          </w:p>
        </w:tc>
        <w:tc>
          <w:tcPr>
            <w:tcW w:type="dxa" w:w="3231"/>
          </w:tcPr>
          <w:p>
            <w:r>
              <w:rPr>
                <w:sz w:val="19"/>
              </w:rPr>
              <w:t>Modo Manual</w:t>
            </w:r>
          </w:p>
        </w:tc>
        <w:tc>
          <w:tcPr>
            <w:tcW w:type="dxa" w:w="3231"/>
          </w:tcPr>
          <w:p>
            <w:r>
              <w:rPr>
                <w:sz w:val="19"/>
              </w:rPr>
              <w:t>Modo Agent</w:t>
            </w:r>
          </w:p>
        </w:tc>
      </w:tr>
      <w:tr>
        <w:tc>
          <w:tcPr>
            <w:tcW w:type="dxa" w:w="2948"/>
          </w:tcPr>
          <w:p>
            <w:r>
              <w:rPr>
                <w:sz w:val="19"/>
              </w:rPr>
              <w:t>Evitar durante el taller</w:t>
            </w:r>
          </w:p>
        </w:tc>
        <w:tc>
          <w:tcPr>
            <w:tcW w:type="dxa" w:w="3231"/>
          </w:tcPr>
          <w:p>
            <w:r>
              <w:rPr>
                <w:sz w:val="19"/>
              </w:rPr>
              <w:t>Edit automatically</w:t>
            </w:r>
          </w:p>
        </w:tc>
        <w:tc>
          <w:tcPr>
            <w:tcW w:type="dxa" w:w="3231"/>
          </w:tcPr>
          <w:p>
            <w:r>
              <w:rPr>
                <w:sz w:val="19"/>
              </w:rPr>
              <w:t>Agent (Full Access)</w:t>
            </w:r>
          </w:p>
        </w:tc>
      </w:tr>
    </w:tbl>
    <w:p>
      <w:pPr>
        <w:spacing w:after="0"/>
      </w:pPr>
    </w:p>
    <w:p>
      <w:pPr>
        <w:pStyle w:val="Heading2"/>
      </w:pPr>
      <w:r>
        <w:t>Práctica 4 · Puesta a punto (15 min)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1.</w:t>
        <w:tab/>
      </w:r>
      <w:r>
        <w:t>Abra VS Code y elija Archivo › Abrir carpeta… › kit-taller.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2.</w:t>
        <w:tab/>
      </w:r>
      <w:r>
        <w:t>Abra el panel del agente e inicie sesión si no lo ha hecho.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3.</w:t>
        <w:tab/>
      </w:r>
      <w:r>
        <w:t>Elija el modo Plan (Claude Code) o Chat (Codex).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4.</w:t>
        <w:tab/>
      </w:r>
      <w:r>
        <w:t>Pegue el prompt P4 y lea la respuesta.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PROMPT P4</w:t>
            </w:r>
          </w:p>
          <w:p>
            <w:pPr>
              <w:spacing w:after="40"/>
            </w:pPr>
            <w:r>
              <w:rPr>
                <w:sz w:val="21"/>
              </w:rPr>
              <w:t>Explícame qué hay en esta carpeta como si yo fuera el director financiero: qué ficheros hay, qué contiene cada uno y tres cosas útiles que podríamos construir con ellos. No modifiques ni crees ningún archivo.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BEBDD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A0521B"/>
                <w:sz w:val="17"/>
              </w:rPr>
              <w:t>ALERTA</w:t>
            </w:r>
          </w:p>
          <w:p>
            <w:pPr>
              <w:spacing w:after="40"/>
            </w:pPr>
            <w:r>
              <w:rPr>
                <w:sz w:val="21"/>
              </w:rPr>
              <w:t>Abra solo la carpeta del kit, nunca su carpeta personal completa: el agente puede leer todo lo que hay dentro.</w:t>
            </w:r>
          </w:p>
        </w:tc>
      </w:tr>
    </w:tbl>
    <w:p>
      <w:pPr>
        <w:spacing w:after="0"/>
      </w:pPr>
    </w:p>
    <w:p>
      <w:pPr>
        <w:pStyle w:val="Heading2"/>
      </w:pPr>
      <w:r>
        <w:t>Práctica 5 · Las reglas de la casa (10 min)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1.</w:t>
        <w:tab/>
      </w:r>
      <w:r>
        <w:t>Cambie al modo Manual (Claude Code) o Agent (Codex).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2.</w:t>
        <w:tab/>
      </w:r>
      <w:r>
        <w:t>Pegue el prompt P5.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3.</w:t>
        <w:tab/>
      </w:r>
      <w:r>
        <w:t>Lea el archivo que propone y pida cambios hasta que lo entienda de principio a fin.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4.</w:t>
        <w:tab/>
      </w:r>
      <w:r>
        <w:t>Acepte el cambio. El agente leerá este archivo al empezar cada conversación en esta carpeta.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PROMPT P5</w:t>
            </w:r>
          </w:p>
          <w:p>
            <w:pPr>
              <w:spacing w:after="40"/>
            </w:pPr>
            <w:r>
              <w:rPr>
                <w:sz w:val="21"/>
              </w:rPr>
              <w:t>Crea en esta carpeta un archivo CLAUDE.md (si eres Codex, AGENTS.md) con las reglas del proyecto:</w:t>
            </w:r>
          </w:p>
          <w:p>
            <w:pPr>
              <w:spacing w:after="40"/>
            </w:pPr>
            <w:r>
              <w:rPr>
                <w:sz w:val="21"/>
              </w:rPr>
              <w:t>- Contexto: somos el área de Cuentas a Pagar de Distribuciones Meseta Norte (empresa ficticia de un taller).</w:t>
            </w:r>
          </w:p>
          <w:p>
            <w:pPr>
              <w:spacing w:after="40"/>
            </w:pPr>
            <w:r>
              <w:rPr>
                <w:sz w:val="21"/>
              </w:rPr>
              <w:t>- Nunca modifiques ni borres nada dentro de datos/, documentos/ ni facturas_recibidas_hoy/.</w:t>
            </w:r>
          </w:p>
          <w:p>
            <w:pPr>
              <w:spacing w:after="40"/>
            </w:pPr>
            <w:r>
              <w:rPr>
                <w:sz w:val="21"/>
              </w:rPr>
              <w:t>- No instales programas ni dependencias. Las herramientas serán un único archivo HTML que funcione con doble clic y sin conexión a internet.</w:t>
            </w:r>
          </w:p>
          <w:p>
            <w:pPr>
              <w:spacing w:after="40"/>
            </w:pPr>
            <w:r>
              <w:rPr>
                <w:sz w:val="21"/>
              </w:rPr>
              <w:t>- Aplica la política de documentos/politica_pagos_proveedores.pdf: tolerancia de precio del 2 %, cantidad facturada no superior a la recibida, cuota de IVA con margen de 0,05 €, aprobación por encima de 10.000 €, bloqueo por IBAN distinto del registrado o por factura duplicada.</w:t>
            </w:r>
          </w:p>
          <w:p>
            <w:pPr>
              <w:spacing w:after="40"/>
            </w:pPr>
            <w:r>
              <w:rPr>
                <w:sz w:val="21"/>
              </w:rPr>
              <w:t>- Explícame todo en castellano, sin jerga técnica, y dime de qué fichero sale cada cifra.</w:t>
            </w:r>
          </w:p>
          <w:p>
            <w:pPr>
              <w:spacing w:after="40"/>
            </w:pPr>
            <w:r>
              <w:rPr>
                <w:sz w:val="21"/>
              </w:rPr>
              <w:t>- Pregúntame antes de borrar o sobrescribir cualquier archivo.</w:t>
            </w:r>
          </w:p>
          <w:p>
            <w:pPr>
              <w:spacing w:after="40"/>
            </w:pPr>
            <w:r>
              <w:rPr>
                <w:sz w:val="21"/>
              </w:rPr>
              <w:t>Enséñame el archivo antes de guardarlo.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7F5F0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IDEA CLAVE</w:t>
            </w:r>
          </w:p>
          <w:p>
            <w:pPr>
              <w:spacing w:after="40"/>
            </w:pPr>
            <w:r>
              <w:rPr>
                <w:sz w:val="21"/>
              </w:rPr>
              <w:t>Este archivo es el prompt de sistema del proyecto. Lo que no está escrito en él, el agente lo improvisa.</w:t>
            </w:r>
          </w:p>
        </w:tc>
      </w:tr>
    </w:tbl>
    <w:p>
      <w:pPr>
        <w:spacing w:after="0"/>
      </w:pPr>
    </w:p>
    <w:p>
      <w:pPr>
        <w:pStyle w:val="Heading2"/>
      </w:pPr>
      <w:r>
        <w:t>Práctica 6 · Planificar antes de construir (25 min)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1.</w:t>
        <w:tab/>
      </w:r>
      <w:r>
        <w:t>Vuelva al modo Plan o Chat y pegue el prompt P6.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2.</w:t>
        <w:tab/>
      </w:r>
      <w:r>
        <w:t>Lea el plan: ¿falta algo, sobra algo? Pida cambios hasta que le convenza.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3.</w:t>
        <w:tab/>
      </w:r>
      <w:r>
        <w:t>Apruebe el plan, cambie a Manual o Agent si se lo pide, y deje que construya revisando lo que propone.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4.</w:t>
        <w:tab/>
      </w:r>
      <w:r>
        <w:t>Abra cotejo.html con doble clic desde el explorador de archivos y cargue los cuatro CSV de datos/.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PROMPT P6</w:t>
            </w:r>
          </w:p>
          <w:p>
            <w:pPr>
              <w:spacing w:after="40"/>
            </w:pPr>
            <w:r>
              <w:rPr>
                <w:sz w:val="21"/>
              </w:rPr>
              <w:t>Quiero una herramienta para cotejar las facturas de septiembre con los pedidos, los albaranes y el registro de proveedores (ficheros CSV de la carpeta datos/).</w:t>
            </w:r>
          </w:p>
          <w:p>
            <w:pPr>
              <w:spacing w:after="40"/>
            </w:pPr>
            <w:r>
              <w:rPr>
                <w:sz w:val="21"/>
              </w:rPr>
              <w:t>Debe ser un único archivo cotejo.html que funcione con doble clic, con un botón para cargar los cuatro CSV.</w:t>
            </w:r>
          </w:p>
          <w:p>
            <w:pPr>
              <w:spacing w:after="40"/>
            </w:pPr>
            <w:r>
              <w:rPr>
                <w:sz w:val="21"/>
              </w:rPr>
              <w:t>Debe mostrar:</w:t>
            </w:r>
          </w:p>
          <w:p>
            <w:pPr>
              <w:spacing w:after="40"/>
            </w:pPr>
            <w:r>
              <w:rPr>
                <w:sz w:val="21"/>
              </w:rPr>
              <w:t>- Un resumen con el número de facturas y el importe por estado: conforme, pendiente de aprobación, con incidencia y bloqueada.</w:t>
            </w:r>
          </w:p>
          <w:p>
            <w:pPr>
              <w:spacing w:after="40"/>
            </w:pPr>
            <w:r>
              <w:rPr>
                <w:sz w:val="21"/>
              </w:rPr>
              <w:t>- Una tabla con cada factura, su estado, el motivo y la evidencia (por ejemplo: «Pedido: 9,80 € · Factura: 10,22 € (+4,3 %)»), con las bloqueadas y las incidencias primero.</w:t>
            </w:r>
          </w:p>
          <w:p>
            <w:pPr>
              <w:spacing w:after="40"/>
            </w:pPr>
            <w:r>
              <w:rPr>
                <w:sz w:val="21"/>
              </w:rPr>
              <w:t>- Un botón para exportar las incidencias a un CSV que se abra bien en Excel.</w:t>
            </w:r>
          </w:p>
          <w:p>
            <w:pPr>
              <w:spacing w:after="40"/>
            </w:pPr>
            <w:r>
              <w:rPr>
                <w:sz w:val="21"/>
              </w:rPr>
              <w:t>Aplica las reglas de CLAUDE.md o AGENTS.md. Antes de escribir nada, propón un plan y espera mi aprobación.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7F5F0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RESULTADO ESPERADO</w:t>
            </w:r>
          </w:p>
          <w:p>
            <w:pPr>
              <w:spacing w:after="40"/>
            </w:pPr>
            <w:r>
              <w:rPr>
                <w:sz w:val="21"/>
              </w:rPr>
              <w:t>40 facturas: 30 conformes, 1 pendiente de aprobación, 7 con incidencia y 2 bloqueadas.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PUNTO DE CONTROL</w:t>
            </w:r>
          </w:p>
          <w:p>
            <w:pPr>
              <w:spacing w:after="40"/>
            </w:pPr>
            <w:r>
              <w:rPr>
                <w:sz w:val="21"/>
              </w:rPr>
              <w:t>Si sus cifras no coinciden, pida al agente: «Explícame, factura a factura, por qué cada una tiene el estado que tiene». Compare con la política.</w:t>
            </w:r>
          </w:p>
        </w:tc>
      </w:tr>
    </w:tbl>
    <w:p>
      <w:pPr>
        <w:spacing w:after="0"/>
      </w:pPr>
    </w:p>
    <w:p>
      <w:pPr>
        <w:pStyle w:val="Heading2"/>
      </w:pPr>
      <w:r>
        <w:t>Práctica 7 · Probar como un auditor (10 min)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1.</w:t>
        <w:tab/>
      </w:r>
      <w:r>
        <w:t>Pegue el prompt P7.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2.</w:t>
        <w:tab/>
      </w:r>
      <w:r>
        <w:t>Revise la tabla de resultados esperados: ¿está de acuerdo con cada uno? El resultado correcto lo decide usted, no el agente.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3.</w:t>
        <w:tab/>
      </w:r>
      <w:r>
        <w:t>Cargue los ficheros de casos_prueba/ en cotejo.html y compare caso a caso.</w:t>
      </w:r>
    </w:p>
    <w:p>
      <w:pPr>
        <w:tabs>
          <w:tab w:pos="397" w:val="left"/>
        </w:tabs>
        <w:spacing w:after="60"/>
        <w:ind w:left="397" w:hanging="397"/>
      </w:pPr>
      <w:r>
        <w:rPr>
          <w:b/>
          <w:color w:val="8F6C33"/>
        </w:rPr>
        <w:t>4.</w:t>
        <w:tab/>
      </w:r>
      <w:r>
        <w:t>Si algo se rompe, pida que vuelva al último punto que funcionaba (en Claude Code también puede rebobinar desde un mensaje anterior).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PROMPT P7</w:t>
            </w:r>
          </w:p>
          <w:p>
            <w:pPr>
              <w:spacing w:after="40"/>
            </w:pPr>
            <w:r>
              <w:rPr>
                <w:sz w:val="21"/>
              </w:rPr>
              <w:t>Prepara una batería de pruebas para cotejo.html en una carpeta nueva casos_prueba/, sin tocar datos/. Usa ficheros CSV con el mismo formato que los originales y 8 facturas inventadas:</w:t>
            </w:r>
          </w:p>
          <w:p>
            <w:pPr>
              <w:spacing w:after="40"/>
            </w:pPr>
            <w:r>
              <w:rPr>
                <w:sz w:val="21"/>
              </w:rPr>
              <w:t>- 2 típicas (todo coincide)</w:t>
            </w:r>
          </w:p>
          <w:p>
            <w:pPr>
              <w:spacing w:after="40"/>
            </w:pPr>
            <w:r>
              <w:rPr>
                <w:sz w:val="21"/>
              </w:rPr>
              <w:t>- 2 difíciles (precio exactamente un 2 % por encima del pedido; entrega parcial)</w:t>
            </w:r>
          </w:p>
          <w:p>
            <w:pPr>
              <w:spacing w:after="40"/>
            </w:pPr>
            <w:r>
              <w:rPr>
                <w:sz w:val="21"/>
              </w:rPr>
              <w:t>- 2 que deben derivarse (sin pedido; proveedor no registrado)</w:t>
            </w:r>
          </w:p>
          <w:p>
            <w:pPr>
              <w:spacing w:after="40"/>
            </w:pPr>
            <w:r>
              <w:rPr>
                <w:sz w:val="21"/>
              </w:rPr>
              <w:t>- 2 adversas (IBAN distinto del registrado; factura duplicada)</w:t>
            </w:r>
          </w:p>
          <w:p>
            <w:pPr>
              <w:spacing w:after="40"/>
            </w:pPr>
            <w:r>
              <w:rPr>
                <w:sz w:val="21"/>
              </w:rPr>
              <w:t>Dame también una tabla con el resultado que debería dar cada caso según la política. Yo cargaré los ficheros en cotejo.html y compararé. No cambies el código de cotejo.html todavía.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PUNTO DE CONTROL</w:t>
            </w:r>
          </w:p>
          <w:p>
            <w:pPr>
              <w:spacing w:after="40"/>
            </w:pPr>
            <w:r>
              <w:rPr>
                <w:sz w:val="21"/>
              </w:rPr>
              <w:t>¿Un 2,0 % exacto es conforme? La política dice «hasta el 2 %». Decida la regla y añádala a CLAUDE.md o AGENTS.md.</w:t>
            </w:r>
          </w:p>
        </w:tc>
      </w:tr>
    </w:tbl>
    <w:p>
      <w:pPr>
        <w:spacing w:after="0"/>
      </w:pPr>
    </w:p>
    <w:p>
      <w:pPr>
        <w:pStyle w:val="Heading2"/>
      </w:pPr>
      <w:r>
        <w:t>Práctica 8 · Su propia solución (20 min)</w:t>
      </w:r>
    </w:p>
    <w:p>
      <w:r>
        <w:t>Elija un proceso suyo, el que pensó para su plan a 90 días, y trabaje solo con datos inventados.</w:t>
      </w:r>
    </w:p>
    <w:p>
      <w:pPr>
        <w:pStyle w:val="Heading3"/>
      </w:pPr>
      <w:r>
        <w:t>El encargo en seis piezas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7370"/>
      </w:tblGrid>
      <w:tr>
        <w:tc>
          <w:tcPr>
            <w:tcW w:type="dxa" w:w="2041"/>
            <w:shd w:val="clear" w:color="auto" w:fill="E8EFEA"/>
          </w:tcPr>
          <w:p>
            <w:r>
              <w:rPr>
                <w:b/>
                <w:sz w:val="19"/>
              </w:rPr>
              <w:t>Pieza</w:t>
            </w:r>
          </w:p>
        </w:tc>
        <w:tc>
          <w:tcPr>
            <w:tcW w:type="dxa" w:w="7370"/>
            <w:shd w:val="clear" w:color="auto" w:fill="E8EFEA"/>
          </w:tcPr>
          <w:p>
            <w:r>
              <w:rPr>
                <w:b/>
                <w:sz w:val="19"/>
              </w:rPr>
              <w:t>Qué incluir</w:t>
            </w:r>
          </w:p>
        </w:tc>
      </w:tr>
      <w:tr>
        <w:tc>
          <w:tcPr>
            <w:tcW w:type="dxa" w:w="2041"/>
          </w:tcPr>
          <w:p>
            <w:r>
              <w:rPr>
                <w:sz w:val="19"/>
              </w:rPr>
              <w:t>Contexto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Quién es usted, para qué es y quién lo usará.</w:t>
            </w:r>
          </w:p>
        </w:tc>
      </w:tr>
      <w:tr>
        <w:tc>
          <w:tcPr>
            <w:tcW w:type="dxa" w:w="2041"/>
          </w:tcPr>
          <w:p>
            <w:r>
              <w:rPr>
                <w:sz w:val="19"/>
              </w:rPr>
              <w:t>Objetivo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Qué debe resolver la herramienta, en una frase.</w:t>
            </w:r>
          </w:p>
        </w:tc>
      </w:tr>
      <w:tr>
        <w:tc>
          <w:tcPr>
            <w:tcW w:type="dxa" w:w="2041"/>
          </w:tcPr>
          <w:p>
            <w:r>
              <w:rPr>
                <w:sz w:val="19"/>
              </w:rPr>
              <w:t>Entradas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Qué archivos o datos recibe y en qué formato.</w:t>
            </w:r>
          </w:p>
        </w:tc>
      </w:tr>
      <w:tr>
        <w:tc>
          <w:tcPr>
            <w:tcW w:type="dxa" w:w="2041"/>
          </w:tcPr>
          <w:p>
            <w:r>
              <w:rPr>
                <w:sz w:val="19"/>
              </w:rPr>
              <w:t>Resultado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Qué entrega: página, Excel, informe o borrador.</w:t>
            </w:r>
          </w:p>
        </w:tc>
      </w:tr>
      <w:tr>
        <w:tc>
          <w:tcPr>
            <w:tcW w:type="dxa" w:w="2041"/>
          </w:tcPr>
          <w:p>
            <w:r>
              <w:rPr>
                <w:sz w:val="19"/>
              </w:rPr>
              <w:t>Reglas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Criterios fijos, límites y lo que nunca debe hacer.</w:t>
            </w:r>
          </w:p>
        </w:tc>
      </w:tr>
      <w:tr>
        <w:tc>
          <w:tcPr>
            <w:tcW w:type="dxa" w:w="2041"/>
          </w:tcPr>
          <w:p>
            <w:r>
              <w:rPr>
                <w:sz w:val="19"/>
              </w:rPr>
              <w:t>Comprobación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Cómo sabrá que funciona: casos y cifras esperadas.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3EFE6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8F6C33"/>
                <w:sz w:val="17"/>
              </w:rPr>
              <w:t>PROMPT P8 · PLANTILLA</w:t>
            </w:r>
          </w:p>
          <w:p>
            <w:pPr>
              <w:spacing w:after="40"/>
            </w:pPr>
            <w:r>
              <w:rPr>
                <w:sz w:val="21"/>
              </w:rPr>
              <w:t>Trabajo en [área] y quiero una herramienta para [objetivo en una frase].</w:t>
            </w:r>
          </w:p>
          <w:p>
            <w:pPr>
              <w:spacing w:after="40"/>
            </w:pPr>
            <w:r>
              <w:rPr>
                <w:sz w:val="21"/>
              </w:rPr>
              <w:t>Recibirá [archivos o datos de entrada y su formato].</w:t>
            </w:r>
          </w:p>
          <w:p>
            <w:pPr>
              <w:spacing w:after="40"/>
            </w:pPr>
            <w:r>
              <w:rPr>
                <w:sz w:val="21"/>
              </w:rPr>
              <w:t>Debe entregar [resultado: página, Excel, informe, borrador…].</w:t>
            </w:r>
          </w:p>
          <w:p>
            <w:pPr>
              <w:spacing w:after="40"/>
            </w:pPr>
            <w:r>
              <w:rPr>
                <w:sz w:val="21"/>
              </w:rPr>
              <w:t>Reglas: [criterios fijos, límites, lo que nunca debe hacer].</w:t>
            </w:r>
          </w:p>
          <w:p>
            <w:pPr>
              <w:spacing w:after="40"/>
            </w:pPr>
            <w:r>
              <w:rPr>
                <w:sz w:val="21"/>
              </w:rPr>
              <w:t>Sabré que funciona si [casos y cifras que espero].</w:t>
            </w:r>
          </w:p>
          <w:p>
            <w:pPr>
              <w:spacing w:after="40"/>
            </w:pPr>
            <w:r>
              <w:rPr>
                <w:sz w:val="21"/>
              </w:rPr>
              <w:t>Si no tengo datos, genera primero 30 filas de ejemplo realistas e inventadas. Propón un plan antes de empezar y pregúntame lo que necesites.</w:t>
            </w:r>
          </w:p>
        </w:tc>
      </w:tr>
    </w:tbl>
    <w:p>
      <w:pPr>
        <w:spacing w:after="0"/>
      </w:pPr>
    </w:p>
    <w:p>
      <w:pPr>
        <w:pStyle w:val="Heading3"/>
      </w:pPr>
      <w:r>
        <w:t>Ideas para empezar</w:t>
      </w:r>
    </w:p>
    <w:p>
      <w:pPr>
        <w:pStyle w:val="ListBullet"/>
        <w:spacing w:after="40"/>
      </w:pPr>
      <w:r>
        <w:t>Clasificar y renombrar los documentos de una carpeta.</w:t>
      </w:r>
    </w:p>
    <w:p>
      <w:pPr>
        <w:pStyle w:val="ListBullet"/>
        <w:spacing w:after="40"/>
      </w:pPr>
      <w:r>
        <w:t>Convertir un Excel recurrente en un informe o un cuadro de mando.</w:t>
      </w:r>
    </w:p>
    <w:p>
      <w:pPr>
        <w:pStyle w:val="ListBullet"/>
        <w:spacing w:after="40"/>
      </w:pPr>
      <w:r>
        <w:t>Una lista de comprobación web para un procedimiento interno.</w:t>
      </w:r>
    </w:p>
    <w:p>
      <w:pPr>
        <w:pStyle w:val="ListBullet"/>
        <w:spacing w:after="40"/>
      </w:pPr>
      <w:r>
        <w:t>Comparar dos versiones de un contrato o de una política.</w:t>
      </w:r>
    </w:p>
    <w:p>
      <w:pPr>
        <w:pStyle w:val="ListBullet"/>
        <w:spacing w:after="40"/>
      </w:pPr>
      <w:r>
        <w:t>Unificar y limpiar listados que llegan de distintas fuentes.</w:t>
      </w:r>
    </w:p>
    <w:p>
      <w:pPr>
        <w:pStyle w:val="ListBullet"/>
        <w:spacing w:after="40"/>
      </w:pPr>
      <w:r>
        <w:t>Preparar borradores de respuesta a partir de plantillas.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BEBDD"/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60"/>
            </w:pPr>
            <w:r>
              <w:rPr>
                <w:b/>
                <w:color w:val="A0521B"/>
                <w:sz w:val="17"/>
              </w:rPr>
              <w:t>ALERTA</w:t>
            </w:r>
          </w:p>
          <w:p>
            <w:pPr>
              <w:spacing w:after="40"/>
            </w:pPr>
            <w:r>
              <w:rPr>
                <w:sz w:val="21"/>
              </w:rPr>
              <w:t>Ni datos reales ni documentos de la empresa en el taller, tampoco «solo para probar».</w:t>
            </w:r>
          </w:p>
        </w:tc>
      </w:tr>
    </w:tbl>
    <w:p>
      <w:pPr>
        <w:spacing w:after="0"/>
      </w:pPr>
    </w:p>
    <w:p>
      <w:pPr>
        <w:pStyle w:val="Heading3"/>
      </w:pPr>
      <w:r>
        <w:t>Cuando se atasque</w:t>
      </w:r>
    </w:p>
    <w:p>
      <w:pPr>
        <w:pStyle w:val="ListBullet"/>
        <w:spacing w:after="40"/>
      </w:pPr>
      <w:r>
        <w:t>«Explícame el error en lenguaje sencillo y propón una solución.»</w:t>
      </w:r>
    </w:p>
    <w:p>
      <w:pPr>
        <w:pStyle w:val="ListBullet"/>
        <w:spacing w:after="40"/>
      </w:pPr>
      <w:r>
        <w:t>«Vuelve al último punto que funcionaba.»</w:t>
      </w:r>
    </w:p>
    <w:p>
      <w:pPr>
        <w:pStyle w:val="ListBullet"/>
        <w:spacing w:after="40"/>
      </w:pPr>
      <w:r>
        <w:t>«Hagámoslo en pasos más pequeños: primero solo…»</w:t>
      </w:r>
    </w:p>
    <w:p>
      <w:pPr>
        <w:pStyle w:val="ListBullet"/>
        <w:spacing w:after="40"/>
      </w:pPr>
      <w:r>
        <w:t>«Enséñame cómo comprobar que funciona.»</w:t>
      </w:r>
    </w:p>
    <w:p>
      <w:pPr>
        <w:pStyle w:val="ListBullet"/>
        <w:spacing w:after="40"/>
      </w:pPr>
      <w:r>
        <w:t>«Resume lo que llevamos hecho.» Después, abra una conversación nueva y pegue el resumen.</w:t>
      </w:r>
    </w:p>
    <w:p>
      <w:pPr>
        <w:pStyle w:val="ListBullet"/>
        <w:spacing w:after="40"/>
      </w:pPr>
      <w:r>
        <w:t>Si nada de esto funciona, levante la mano.</w:t>
      </w:r>
    </w:p>
    <w:p>
      <w:pPr>
        <w:pStyle w:val="Heading1"/>
      </w:pPr>
      <w:r>
        <w:t>Después del taller</w:t>
      </w:r>
    </w:p>
    <w:p>
      <w:pPr>
        <w:pStyle w:val="Heading3"/>
      </w:pPr>
      <w:r>
        <w:t>Seis preguntas antes de pasar a datos reales</w:t>
      </w:r>
    </w:p>
    <w:p>
      <w:pPr>
        <w:pStyle w:val="ListBullet"/>
        <w:spacing w:after="40"/>
      </w:pPr>
      <w:r>
        <w:rPr>
          <w:b/>
        </w:rPr>
        <w:t xml:space="preserve">Datos: </w:t>
      </w:r>
      <w:r>
        <w:t>¿la organización permite usar esta herramienta con estos datos y con esta cuenta?</w:t>
      </w:r>
    </w:p>
    <w:p>
      <w:pPr>
        <w:pStyle w:val="ListBullet"/>
        <w:spacing w:after="40"/>
      </w:pPr>
      <w:r>
        <w:rPr>
          <w:b/>
        </w:rPr>
        <w:t xml:space="preserve">Permisos: </w:t>
      </w:r>
      <w:r>
        <w:t>¿tiene solo el acceso que necesita (una carpeta, sin credenciales ajenas)?</w:t>
      </w:r>
    </w:p>
    <w:p>
      <w:pPr>
        <w:pStyle w:val="ListBullet"/>
        <w:spacing w:after="40"/>
      </w:pPr>
      <w:r>
        <w:rPr>
          <w:b/>
        </w:rPr>
        <w:t xml:space="preserve">Revisión humana: </w:t>
      </w:r>
      <w:r>
        <w:t>¿hay una persona antes de cualquier efecto: pago, envío o registro?</w:t>
      </w:r>
    </w:p>
    <w:p>
      <w:pPr>
        <w:pStyle w:val="ListBullet"/>
        <w:spacing w:after="40"/>
      </w:pPr>
      <w:r>
        <w:rPr>
          <w:b/>
        </w:rPr>
        <w:t xml:space="preserve">Pruebas: </w:t>
      </w:r>
      <w:r>
        <w:t>¿existe una batería con resultados conocidos que se repite tras cada cambio?</w:t>
      </w:r>
    </w:p>
    <w:p>
      <w:pPr>
        <w:pStyle w:val="ListBullet"/>
        <w:spacing w:after="40"/>
      </w:pPr>
      <w:r>
        <w:rPr>
          <w:b/>
        </w:rPr>
        <w:t xml:space="preserve">Trazabilidad: </w:t>
      </w:r>
      <w:r>
        <w:t>¿quedan guardadas las versiones y una ficha con propósito, reglas y fuentes?</w:t>
      </w:r>
    </w:p>
    <w:p>
      <w:pPr>
        <w:pStyle w:val="ListBullet"/>
        <w:spacing w:after="40"/>
      </w:pPr>
      <w:r>
        <w:rPr>
          <w:b/>
        </w:rPr>
        <w:t xml:space="preserve">Responsable: </w:t>
      </w:r>
      <w:r>
        <w:t>¿hay alguien que la mantiene, responde por ella y puede retirarla?</w:t>
      </w:r>
    </w:p>
    <w:p>
      <w:pPr>
        <w:pStyle w:val="Heading3"/>
      </w:pPr>
      <w:r>
        <w:t>Conexión con el plan a 90 días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463"/>
      </w:tblGrid>
      <w:tr>
        <w:tc>
          <w:tcPr>
            <w:tcW w:type="dxa" w:w="2948"/>
            <w:shd w:val="clear" w:color="auto" w:fill="E8EFEA"/>
          </w:tcPr>
          <w:p>
            <w:r>
              <w:rPr>
                <w:b/>
                <w:sz w:val="19"/>
              </w:rPr>
              <w:t>Periodo</w:t>
            </w:r>
          </w:p>
        </w:tc>
        <w:tc>
          <w:tcPr>
            <w:tcW w:type="dxa" w:w="6463"/>
            <w:shd w:val="clear" w:color="auto" w:fill="E8EFEA"/>
          </w:tcPr>
          <w:p>
            <w:r>
              <w:rPr>
                <w:b/>
                <w:sz w:val="19"/>
              </w:rPr>
              <w:t>Lo que ya trabajó en el taller</w:t>
            </w:r>
          </w:p>
        </w:tc>
      </w:tr>
      <w:tr>
        <w:tc>
          <w:tcPr>
            <w:tcW w:type="dxa" w:w="2948"/>
          </w:tcPr>
          <w:p>
            <w:r>
              <w:rPr>
                <w:sz w:val="19"/>
              </w:rPr>
              <w:t>Días 1–30 · Diseño y preparación</w:t>
            </w:r>
          </w:p>
        </w:tc>
        <w:tc>
          <w:tcPr>
            <w:tcW w:type="dxa" w:w="6463"/>
          </w:tcPr>
          <w:p>
            <w:r>
              <w:rPr>
                <w:sz w:val="19"/>
              </w:rPr>
              <w:t>Reglas escritas (prácticas 1 y 5), prototipo (prácticas 6 y 8) y permisos acotados (práctica 4).</w:t>
            </w:r>
          </w:p>
        </w:tc>
      </w:tr>
      <w:tr>
        <w:tc>
          <w:tcPr>
            <w:tcW w:type="dxa" w:w="2948"/>
          </w:tcPr>
          <w:p>
            <w:r>
              <w:rPr>
                <w:sz w:val="19"/>
              </w:rPr>
              <w:t>Días 31–60 · Piloto y validación</w:t>
            </w:r>
          </w:p>
        </w:tc>
        <w:tc>
          <w:tcPr>
            <w:tcW w:type="dxa" w:w="6463"/>
          </w:tcPr>
          <w:p>
            <w:r>
              <w:rPr>
                <w:sz w:val="19"/>
              </w:rPr>
              <w:t>Batería de casos típicos, difíciles, para derivar y adversos (práctica 7).</w:t>
            </w:r>
          </w:p>
        </w:tc>
      </w:tr>
      <w:tr>
        <w:tc>
          <w:tcPr>
            <w:tcW w:type="dxa" w:w="2948"/>
          </w:tcPr>
          <w:p>
            <w:r>
              <w:rPr>
                <w:sz w:val="19"/>
              </w:rPr>
              <w:t>Días 61–90 · Implantación y decisión</w:t>
            </w:r>
          </w:p>
        </w:tc>
        <w:tc>
          <w:tcPr>
            <w:tcW w:type="dxa" w:w="6463"/>
          </w:tcPr>
          <w:p>
            <w:r>
              <w:rPr>
                <w:sz w:val="19"/>
              </w:rPr>
              <w:t>Las seis preguntas anteriores: datos, permisos, revisión, pruebas, trazabilidad y responsable.</w:t>
            </w:r>
          </w:p>
        </w:tc>
      </w:tr>
    </w:tbl>
    <w:p>
      <w:pPr>
        <w:spacing w:after="0"/>
      </w:pPr>
    </w:p>
    <w:p>
      <w:r>
        <w:rPr>
          <w:i/>
          <w:color w:val="6B6B6B"/>
          <w:sz w:val="19"/>
        </w:rPr>
        <w:t>Las herramientas, sus nombres y sus planes cambian con frecuencia. Esta guía refleja su estado en octubre de 2026.</w:t>
      </w:r>
    </w:p>
    <w:p>
      <w:pPr>
        <w:pStyle w:val="Heading1"/>
      </w:pPr>
      <w:r>
        <w:t>Bibliografía</w:t>
      </w:r>
    </w:p>
    <w:p>
      <w:r>
        <w:t>Para seguir aprendiendo después del taller. Las mismas referencias aparecen, resumidas, al final de la presentación.</w:t>
      </w:r>
    </w:p>
    <w:p>
      <w:pPr>
        <w:pStyle w:val="Heading3"/>
      </w:pPr>
      <w:r>
        <w:t>Lecturas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IA Executive Program. (2026). </w:t>
      </w:r>
      <w:r>
        <w:rPr>
          <w:i/>
          <w:sz w:val="19"/>
        </w:rPr>
        <w:t>Automatización y agentes de IA</w:t>
      </w:r>
      <w:r>
        <w:rPr>
          <w:i w:val="0"/>
          <w:sz w:val="19"/>
        </w:rPr>
        <w:t xml:space="preserve"> [Material de lectura, nivel avanzado, jornada 3: Herramientas e implementación de IA]. Universidad de Salamanca y doinGlobal.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Mollick, E. (2024). </w:t>
      </w:r>
      <w:r>
        <w:rPr>
          <w:i/>
          <w:sz w:val="19"/>
        </w:rPr>
        <w:t>Cointeligencia: vivir y trabajar con la IA</w:t>
      </w:r>
      <w:r>
        <w:rPr>
          <w:i w:val="0"/>
          <w:sz w:val="19"/>
        </w:rPr>
        <w:t xml:space="preserve"> (A. Montero Cusset, trad.). Conecta. (Obra original publicada en 2024)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Schluntz, E. &amp; Zhang, B. (19 de diciembre de 2024). </w:t>
      </w:r>
      <w:r>
        <w:rPr>
          <w:i/>
          <w:sz w:val="19"/>
        </w:rPr>
        <w:t>Building effective agents</w:t>
      </w:r>
      <w:r>
        <w:rPr>
          <w:i w:val="0"/>
          <w:sz w:val="19"/>
        </w:rPr>
        <w:t xml:space="preserve"> [Construir agentes eficaces]. Anthropic. https://www.anthropic.com/engineering/building-effective-agents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Yao, S., Zhao, J., Yu, D., Du, N., Shafran, I., Narasimhan, K. &amp; Cao, Y. (2023). ReAct: Synergizing reasoning and acting in language models [ReAct: sinergia entre razonamiento y acción en los modelos de lenguaje]. En </w:t>
      </w:r>
      <w:r>
        <w:rPr>
          <w:i/>
          <w:sz w:val="19"/>
        </w:rPr>
        <w:t>International Conference on Learning Representations (ICLR 2023)</w:t>
      </w:r>
      <w:r>
        <w:rPr>
          <w:i w:val="0"/>
          <w:sz w:val="19"/>
        </w:rPr>
        <w:t>. https://arxiv.org/abs/2210.03629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Kapoor, S., Stroebl, B., Siegel, Z. S., Nadgir, N. &amp; Narayanan, A. (2025). AI agents that matter [Agentes de IA que importan]. </w:t>
      </w:r>
      <w:r>
        <w:rPr>
          <w:i/>
          <w:sz w:val="19"/>
        </w:rPr>
        <w:t>Transactions on Machine Learning Research</w:t>
      </w:r>
      <w:r>
        <w:rPr>
          <w:i w:val="0"/>
          <w:sz w:val="19"/>
        </w:rPr>
        <w:t>. https://arxiv.org/abs/2407.01502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Dell'Acqua, F., McFowland, E., III, Mollick, E., Lifshitz, H., Kellogg, K. C., Rajendran, S., Krayer, L., Candelon, F. &amp; Lakhani, K. R. (2026). Navigating the jagged technological frontier: Field experimental evidence of the effects of artificial intelligence on knowledge worker productivity and quality [Navegar por la frontera tecnológica irregular: evidencia experimental de campo sobre los efectos de la inteligencia artificial en la productividad y la calidad de los trabajadores del conocimiento]. </w:t>
      </w:r>
      <w:r>
        <w:rPr>
          <w:i/>
          <w:sz w:val="19"/>
        </w:rPr>
        <w:t>Organization Science, 37</w:t>
      </w:r>
      <w:r>
        <w:rPr>
          <w:i w:val="0"/>
          <w:sz w:val="19"/>
        </w:rPr>
        <w:t>(2), 403–423. https://doi.org/10.1287/orsc.2025.21838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Brynjolfsson, E., Li, D. &amp; Raymond, L. (2025). Generative AI at work [La IA generativa en el trabajo]. </w:t>
      </w:r>
      <w:r>
        <w:rPr>
          <w:i/>
          <w:sz w:val="19"/>
        </w:rPr>
        <w:t>The Quarterly Journal of Economics, 140</w:t>
      </w:r>
      <w:r>
        <w:rPr>
          <w:i w:val="0"/>
          <w:sz w:val="19"/>
        </w:rPr>
        <w:t>(2), 889–942. https://doi.org/10.1093/qje/qjae044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Greshake, K., Abdelnabi, S., Mishra, S., Endres, C., Holz, T. &amp; Fritz, M. (2023). Not what you've signed up for: Compromising real-world LLM-integrated applications with indirect prompt injection [No es lo que usted contrató: cómo comprometer aplicaciones reales basadas en modelos de lenguaje mediante la inyección indirecta de prompts]. En </w:t>
      </w:r>
      <w:r>
        <w:rPr>
          <w:i/>
          <w:sz w:val="19"/>
        </w:rPr>
        <w:t>Proceedings of the 16th ACM Workshop on Artificial Intelligence and Security</w:t>
      </w:r>
      <w:r>
        <w:rPr>
          <w:i w:val="0"/>
          <w:sz w:val="19"/>
        </w:rPr>
        <w:t xml:space="preserve"> (pp. 79–90). ACM. https://doi.org/10.1145/3605764.3623985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OWASP Foundation. (2024). </w:t>
      </w:r>
      <w:r>
        <w:rPr>
          <w:i/>
          <w:sz w:val="19"/>
        </w:rPr>
        <w:t>OWASP Top 10 for LLM applications 2025</w:t>
      </w:r>
      <w:r>
        <w:rPr>
          <w:i w:val="0"/>
          <w:sz w:val="19"/>
        </w:rPr>
        <w:t xml:space="preserve"> [Las diez vulnerabilidades principales de las aplicaciones basadas en grandes modelos de lenguaje, edición 2025]. OWASP GenAI Security Project. https://genai.owasp.org/resource/owasp-top-10-for-llm-applications-2025/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Reglamento (UE) 2024/1689 del Parlamento Europeo y del Consejo, de 13 de junio de 2024, por el que se establecen normas armonizadas en materia de inteligencia artificial. (2024). </w:t>
      </w:r>
      <w:r>
        <w:rPr>
          <w:i/>
          <w:sz w:val="19"/>
        </w:rPr>
        <w:t>Diario Oficial de la Unión Europea</w:t>
      </w:r>
      <w:r>
        <w:rPr>
          <w:i w:val="0"/>
          <w:sz w:val="19"/>
        </w:rPr>
        <w:t>, serie L, 12 de julio de 2024. http://data.europa.eu/eli/reg/2024/1689/oj</w:t>
      </w:r>
    </w:p>
    <w:p>
      <w:pPr>
        <w:pStyle w:val="Heading3"/>
      </w:pPr>
      <w:r>
        <w:t>Guías y documentación oficial</w:t>
      </w:r>
    </w:p>
    <w:p>
      <w:r>
        <w:rPr>
          <w:i/>
          <w:color w:val="6B6B6B"/>
          <w:sz w:val="19"/>
        </w:rPr>
        <w:t>Páginas que cambian con frecuencia, consultadas el 25 de octubre de 2026.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Anthropic. (s. f.). </w:t>
      </w:r>
      <w:r>
        <w:rPr>
          <w:i/>
          <w:sz w:val="19"/>
        </w:rPr>
        <w:t>Prompt engineering overview</w:t>
      </w:r>
      <w:r>
        <w:rPr>
          <w:i w:val="0"/>
          <w:sz w:val="19"/>
        </w:rPr>
        <w:t xml:space="preserve"> [Introducción a la ingeniería de prompts]. Claude Platform Docs. https://platform.claude.com/docs/en/build-with-claude/prompt-engineering/overview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OpenAI. (s. f.). </w:t>
      </w:r>
      <w:r>
        <w:rPr>
          <w:i/>
          <w:sz w:val="19"/>
        </w:rPr>
        <w:t>Prompt engineering</w:t>
      </w:r>
      <w:r>
        <w:rPr>
          <w:i w:val="0"/>
          <w:sz w:val="19"/>
        </w:rPr>
        <w:t xml:space="preserve"> [Ingeniería de prompts]. OpenAI API. https://developers.openai.com/api/docs/guides/prompt-engineering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Google. (s. f.). </w:t>
      </w:r>
      <w:r>
        <w:rPr>
          <w:i/>
          <w:sz w:val="19"/>
        </w:rPr>
        <w:t>Cómo escribir peticiones de IA efectivas para empresas</w:t>
      </w:r>
      <w:r>
        <w:rPr>
          <w:i w:val="0"/>
          <w:sz w:val="19"/>
        </w:rPr>
        <w:t>. Gemini para Workspace. https://workspace.google.com/resources/ai/writing-effective-prompts/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n8n. (s. f.). </w:t>
      </w:r>
      <w:r>
        <w:rPr>
          <w:i/>
          <w:sz w:val="19"/>
        </w:rPr>
        <w:t>Human-in-the-loop for tools</w:t>
      </w:r>
      <w:r>
        <w:rPr>
          <w:i w:val="0"/>
          <w:sz w:val="19"/>
        </w:rPr>
        <w:t xml:space="preserve"> [Aprobación humana para las herramientas]. n8n Docs. https://docs.n8n.io/build/integrate-ai/ai-examples/human-in-the-loop-for-tools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Microsoft. (s. f.). </w:t>
      </w:r>
      <w:r>
        <w:rPr>
          <w:i/>
          <w:sz w:val="19"/>
        </w:rPr>
        <w:t>Documentation for Visual Studio Code</w:t>
      </w:r>
      <w:r>
        <w:rPr>
          <w:i w:val="0"/>
          <w:sz w:val="19"/>
        </w:rPr>
        <w:t xml:space="preserve"> [Documentación de Visual Studio Code]. https://code.visualstudio.com/docs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Anthropic. (s. f.). </w:t>
      </w:r>
      <w:r>
        <w:rPr>
          <w:i/>
          <w:sz w:val="19"/>
        </w:rPr>
        <w:t>Use Claude Code in VS Code</w:t>
      </w:r>
      <w:r>
        <w:rPr>
          <w:i w:val="0"/>
          <w:sz w:val="19"/>
        </w:rPr>
        <w:t xml:space="preserve"> [Usar Claude Code en VS Code]. Claude Code Docs. https://code.claude.com/docs/en/vs-code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Anthropic. (s. f.). </w:t>
      </w:r>
      <w:r>
        <w:rPr>
          <w:i/>
          <w:sz w:val="19"/>
        </w:rPr>
        <w:t>Best practices for Claude Code</w:t>
      </w:r>
      <w:r>
        <w:rPr>
          <w:i w:val="0"/>
          <w:sz w:val="19"/>
        </w:rPr>
        <w:t xml:space="preserve"> [Buenas prácticas para Claude Code]. Claude Code Docs. https://code.claude.com/docs/en/best-practices</w:t>
      </w:r>
    </w:p>
    <w:p>
      <w:pPr>
        <w:spacing w:after="100"/>
        <w:ind w:left="567" w:hanging="567"/>
      </w:pPr>
      <w:r>
        <w:rPr>
          <w:i w:val="0"/>
          <w:sz w:val="19"/>
        </w:rPr>
        <w:t xml:space="preserve">OpenAI. (s. f.). </w:t>
      </w:r>
      <w:r>
        <w:rPr>
          <w:i/>
          <w:sz w:val="19"/>
        </w:rPr>
        <w:t>Codex IDE extension</w:t>
      </w:r>
      <w:r>
        <w:rPr>
          <w:i w:val="0"/>
          <w:sz w:val="19"/>
        </w:rPr>
        <w:t xml:space="preserve"> [Extensión de Codex para editores de código]. ChatGPT Learn. https://learn.chatgpt.com/docs/codex/ide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Alumni Summit 2026 · IA Executive Program · Taller «Herramientas de vanguardia e implementación»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23A2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123A2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8F6C3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Arial" w:hAnsi="Arial" w:eastAsia="Arial" w:cs="Arial"/>
      <w:b w:val="0"/>
      <w:color w:val="123A2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